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824. “米其林、黑珍珠餐厅，摘星打卡”——高端餐厅摘星打卡消费动机与体验评价研究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研究对象：去米其林/黑珍珠等高端餐厅消费的食客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核心问题/变量：高端餐厅打卡动机（纪念日/社交/炫耀）、人均消费（500+）、订位难度、体验（服务/菜品/环境）与价格匹配、复访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H1：高端餐厅打卡动机（纪念日/社交/炫耀）、人均消费（500+）显著影响复访（待验证）；H2：不同人群（年龄/收入/城市等级）在上述关系中存在调节作用（待验证）。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🔶米其林/黑珍珠指南榜单评选报道（须下载核验）；✅餐饮业高质量发展政策（商务部）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高端餐厅渠道+食客问卷；获奖黑名单核对：近三年无米其林打卡获奖题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🔶米其林/黑珍珠指南榜单评选报道（须下载核验）；✅餐饮业高质量发展政策（商务部）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