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839. “现烤面包店，烘焙3.0”——上班族现烤面包复购意愿与早餐消费偏好调查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确定行业：06_餐饮食品（选择理由：贴合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研究对象：购买现烤面包（烘焙工坊/连锁）的上班族与家长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核心问题/变量：现烤选择动机（新鲜/香气）、价格带（10-30元）、复购与早餐场景、与预包装面包对比、国潮烘焙品牌、排队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H1：现烤选择动机（新鲜/香气）、价格带（10-30元）显著影响排队（待验证）；H2：不同人群（年龄/收入/城市等级）在上述关系中存在调节作用（待验证）。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🔶烘焙市场规模（行业报告须下载核验）；✅烘焙食品安全标准（卫健委）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烘焙门店问卷+品牌访谈；获奖黑名单核对：近三年无现烤面包获奖题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🔶烘焙市场规模（行业报告须下载核验）；✅烘焙食品安全标准（卫健委）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