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856. “咖啡渣循环，变废为宝”——咖啡渣回收参与意愿与再生制品购买偏好调查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研究对象：咖啡馆经营者、咖啡消费者、咖啡渣再生制品买家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核心问题/变量：咖啡渣回收认知、咖啡馆送渣/回收参与、再生制品（杯垫/环保袋）购买、循环经济参与意愿、成本与渠道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咖啡渣回收认知、咖啡馆送渣/回收参与（成本与渠道）之间存在可检验的关系，且受群体差异（年龄/收入/地区/身份）调节（待验证）；H2：咖啡渣回收认知、咖啡馆送渣/回收参与是影响成本与渠道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🔶咖啡渣再利用案例报道（环保媒体须下载核验）；✅无废城市与循环经济政策（生态环境部）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咖啡店渠道问卷+再生企业访谈；获奖黑名单核对：近三年无咖啡渣循环获奖题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🔶咖啡渣再利用案例报道（环保媒体须下载核验）；✅无废城市与循环经济政策（生态环境部）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