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887. “药食同源菜单，养生餐厅”——药食同源养生餐消费动机与复购意愿研究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研究对象：消费药膳/养生餐（药食同源食材）的食客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核心问题/变量：养生餐消费动机（调理/尝鲜）、药食同源认知（名单食材）、价格接受、功效预期与夸大宣传、复购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H1：养生餐消费动机（调理/尝鲜）、药食同源认知（名单食材）显著影响复购（待验证）；H2：不同人群（年龄/收入/城市等级）在上述关系中存在调节作用（待验证）。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🔶药食同源目录扩充（卫健委、市场监管总局）；🔶药膳餐厅报道（须下载核验）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养生餐馆渠道+食客问卷；获奖黑名单核对：近三年无药膳餐饮获奖题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🔶药食同源目录扩充（卫健委、市场监管总局）；🔶药膳餐厅报道（须下载核验）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