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921. “包子铺早餐革命，中式快餐升级”——包子、早餐连锁（中式快餐化）消费行为与价格敏感度研究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研究对象：常吃包子/早餐连锁（巴比/三津类）的上班族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核心问题/变量：早餐消费频次与均价、包子连锁vs摊点选择（卫生/速度）、数字化点单（小程序）、新品（包子+咖啡）、复购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H1：早餐消费频次与均价、包子连锁vs摊点选择（卫生/速度）显著影响复购（待验证）；H2：不同人群（年龄/收入/城市等级）在上述关系中存在调节作用（待验证）。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🔶早餐工程与餐饮连锁政策（商务部）；🔶早餐市场数据（行业报告须下载核验）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门店实地问卷+品牌方访谈；获奖黑名单核对：近三年无早餐连锁获奖题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🔶早餐工程与餐饮连锁政策（商务部）；🔶早餐市场数据（行业报告须下载核验）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