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978. “湘菜馆出海，辣味全球化”——湘菜、川菜馆海外口味接受度与本地化改良偏好调查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研究对象：海外中餐（湘菜/川菜）馆顾客、出海餐饮品牌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核心问题/变量：海外中餐接受度（辣度适配）、本地化改良（麻辣程度）、华人vs外籍客群、供应链（豆瓣酱/香料）、中餐品牌出海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H1：海外中餐接受度（辣度适配）、本地化改良（麻辣程度）显著影响中餐品牌出海（待验证）；H2：不同人群（年龄/收入/城市等级）在上述关系中存在调节作用（待验证）。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🔶中餐出海与中华美食文化传播政策（商务部）；🔶海外中餐数据（须下载核验）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海外门店渠道问卷+品牌访谈；获奖黑名单核对：近三年无湘菜出海获奖题（区别于679茶饮出海/703地方菜进城）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🔶中餐出海与中华美食文化传播政策（商务部）；🔶海外中餐数据（须下载核验）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