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1006. “首发经济，城市新名片”——首发、首店经济（品牌首店、新品首发）带动消费研究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研究对象：打卡品牌首店（旗舰店、概念店）与新品首发活动的消费者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核心问题/变量：首店消费动机（尝鲜/排队/打卡）、首店带动（商圈引流）、新品首发（手机/球鞋）抢购、城市首店磁力、复购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H1：首店消费动机（尝鲜/排队/打卡）、首店带动（商圈引流）显著影响复购（待验证）；H2：不同人群（年龄/收入/城市等级）在上述关系中存在调节作用（待验证）。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🔶首发经济支持政策（商务部、上海等地）；🔶首店经济数据（商业地产报告须下载核验）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首店商圈实地问卷+商业调研机构访谈；获奖黑名单核对：近三年无首店首发经济获奖题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🔶首发经济支持政策（商务部、上海等地）；🔶首店经济数据（商业地产报告须下载核验）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