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1101. “硬折扣超市，极致性价比”——硬折扣超市消费行为与复购意愿调查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确定行业：07_零售商业与消费新形态（选择理由：贴合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研究对象：在硬折扣超市（极致低价）购物的消费者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核心问题/变量：硬折扣消费动机（低价/刚需）、自有品牌占比、购物体验（简陋装修）、与会员店/电商价格对比、复购品类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H1：硬折扣消费动机（低价/刚需）、自有品牌占比显著影响复购品类（待验证）；H2：不同人群（年龄/收入/城市等级）在上述关系中存在调节作用（待验证）。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🔶零售业创新提升政策（商务部）；🔶硬折扣市场数据（行业报告须下载核验）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硬折扣门店问卷+零售研究机构访谈；获奖黑名单核对：近三年无硬折扣超市获奖题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🔶零售业创新提升政策（商务部）；🔶硬折扣市场数据（行业报告须下载核验）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