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1103. “批零一体店，源头好物”——批发市场零售化消费行为与复购意愿调查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研究对象：在批发市场零售档口（批零一体）购物的散客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核心问题/变量：批零一体消费动机（源头价/可挑选）、散客与批发价差、市场环境体验、直播代购联动、复购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H1：批零一体消费动机（源头价/可挑选）、散客与批发价差显著影响复购（待验证）；H2：不同人群（年龄/收入/城市等级）在上述关系中存在调节作用（待验证）。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🔶商品市场转型升级政策（商务部）；🔶批发市场零售化案例（须下载核验）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批发市场档口问卷+市场管理方访谈；获奖黑名单核对：近三年无批零一体获奖题（区别于906批发市场改造，聚焦零售散客）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🔶商品市场转型升级政策（商务部）；🔶批发市场零售化案例（须下载核验）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