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1108. “鲜花电商，悦己经济2.0”——鲜花电商悦己消费意愿及订阅留存影响因素调查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研究对象：订阅鲜花（周花/包月）或电商买花的消费者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核心问题/变量：鲜花消费动机（悦己/仪式感/送人）、订阅制（每周送花）留存、价格与损耗（鲜花易损）、云南产地直发、节日爆单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H1：鲜花消费动机（悦己/仪式感/送人）、订阅制（每周送花）留存显著影响节日爆单（待验证）；H2：不同人群（年龄/收入/城市等级）在上述关系中存在调节作用（待验证）。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🔶花卉产业发展政策（农业农村部）；🔶鲜花电商市场数据（行业报告须下载核验）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鲜花电商用户问卷+平台访谈；获奖黑名单核对：近三年无鲜花订阅获奖题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🔶花卉产业发展政策（农业农村部）；🔶鲜花电商市场数据（行业报告须下载核验）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