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172. “社区直采，田间到餐桌”——社区生鲜产地直采消费体验与续认养意愿调查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研究对象：参与过果树认养/助农认养的消费者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核心问题/变量：助农认同、认养动机、果实配送体验、价格接受、续认养意愿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H1：助农认同、认养动机（续认养意愿）之间存在可检验的关系，且受群体差异（年龄/收入/地区/身份）调节（待验证）；H2：助农认同、认养动机是影响续认养意愿的关键因素（待验证）。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✅认养农业与乡村振兴衔接政策（《加快农业农村现代化"十五五"规划》）；🔶果树认养项目案例（媒体）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助农平台/合作社渠道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✅认养农业与乡村振兴衔接政策（《加快农业农村现代化"十五五"规划》）；🔶果树认养项目案例（媒体）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