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203. “二手奢侈品，理性入坑”——二手奢侈品消费意愿与保值率认知研究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研究对象：购买过或有意购买二手奢侈品（包/表/首饰）的消费者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核心问题/变量：购买动机（性价比/保值/环保）、鉴定信任、价格接受、渠道选择、与新品对比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H1：购买动机（性价比/保值/环保）、鉴定信任显著影响与新品对比（待验证）；H2：不同人群（年龄/收入/城市等级）在上述关系中存在调节作用（待验证）。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✅贝恩+Altagamma《2026年春季全球奢侈品市场研究》：近半数消费者买新包前先上二手平台查价；✅2025年全球个人奢侈品市场3580亿欧元（-2%）、2026年预计回升3650—3730亿欧元；✅"体验更好"与保值率考量成主流心态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二手奢品平台（得物/妃鱼）用户+线下中古店渠道；与28题（二手数码）区分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✅贝恩+Altagamma《2026年春季全球奢侈品市场研究》：近半数消费者买新包前先上二手平台查价；✅2025年全球个人奢侈品市场3580亿欧元（-2%）、2026年预计回升3650—3730亿欧元；✅"体验更好"与保值率考量成主流心态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