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229. “老字号，新国潮”——老字号国潮产品的品牌焕新评价与复购意愿研究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研究对象：购买过老字号新品（联名/国潮款）的 18—40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核心问题/变量：老字号认知、购买动机（情怀/品质/国潮）、联名款接受、品牌焕新评价、复购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H1：老字号认知、购买动机（情怀/品质/国潮）显著影响复购（待验证）；H2：不同人群（年龄/收入/城市等级）在上述关系中存在调节作用（待验证）。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🔶老字号市场规模与政策（商务部"老字号创新"政策背景）；✅国潮消费趋势（第五轮三坑国风数据呼应）；✅商务部等促进老字号创新发展意见（🔶文号待核）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老字号门店/电商旗舰店渠道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🔶老字号市场规模与政策（商务部"老字号创新"政策背景）；✅国潮消费趋势（第五轮三坑国风数据呼应）；✅商务部等促进老字号创新发展意见（🔶文号待核）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