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358. “邻里中心，一刻钟生活圈”——社区商业综合体消费需求与业态偏好研究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研究对象：入住有邻里中心/社区商业体的居民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核心问题/变量：业态偏好（菜场/餐饮/托育/健身）、到访频次、消费支出、与商场对比、便利感知、需求缺口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H1：业态偏好（菜场/餐饮/托育/健身）、到访频次显著影响需求缺口（待验证）；H2：不同人群（年龄/收入/城市等级）在上述关系中存在调节作用（待验证）。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✅商务部一刻钟便民生活圈试点建设（政策背景）；🔶邻里中心模式（苏州/上海案例媒体）；✅社区餐饮1.2万亿（第五六轮证据）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邻里中心现场问卷；与59题（一刻钟便民圈）区分：聚焦商业体形态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✅商务部一刻钟便民生活圈试点建设（政策背景）；🔶邻里中心模式（苏州/上海案例媒体）；✅社区餐饮1.2万亿（第五六轮证据）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