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430. “代取快递，校园跑腿”——校园跑腿服务使用行为与支付意愿调查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建议地区：乡村（可按省/市细化抽样框）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研究对象：用过校园跑腿（代取快递/带饭/代课）的大学生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核心问题/变量：使用场景、单次价格、信任（私人物品）、服务评价、高峰期（双11）、支付意愿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H1：使用场景、单次价格显著影响支付意愿（待验证）；H2：不同人群（年龄/收入/城市等级）在上述关系中存在调节作用（待验证）。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🔶校园跑腿经济（媒体现象报道）；✅快递业务量破1600亿件（2025年，已核验）；✅大学生消费金融45%发展型支出（第九轮证据）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高校渠道（跑腿群）；贴近评委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🔶校园跑腿经济（媒体现象报道）；✅快递业务量破1600亿件（2025年，已核验）；✅大学生消费金融45%发展型支出（第九轮证据）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