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453. “海淘变难了，免税红利终结”——跨境电商小额免税政策变化对海淘消费影响研究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研究对象：有海淘习惯（美妆/母婴/数码）的消费者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核心问题/变量：海淘频次、价格敏感、免税政策变化知晓（T86取消/欧盟150欧门槛）、渠道迁移（转免税/保税仓）、粘性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H1：海淘频次、价格敏感显著影响粘性（待验证）；H2：不同人群（年龄/收入/城市等级）在上述关系中存在调节作用（待验证）。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✅美国取消T86小额免税通道、欧盟即将取消150欧元以下包裹免税门槛；✅跨境电商出口退运商品税收优惠（2026年2月发布、2026-2027年）；✅保税仓/1210模式（中研普华）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海淘社群/代购用户线上问卷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✅美国取消T86小额免税通道、欧盟即将取消150欧元以下包裹免税门槛；✅跨境电商出口退运商品税收优惠（2026年2月发布、2026-2027年）；✅保税仓/1210模式（中研普华）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