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454. “国货出海，跨境卖全球”——国货品牌跨境电商创业意愿与物流痛点研究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确定行业：07_零售商业与消费新形态（选择理由：贴合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研究对象：做跨境电商（亚马逊/TikTok Shop/独立站）的卖家或有意创业者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核心问题/变量：出海品类（3C/服饰/新消费）、平台选择、物流与合规痛点、利润空间、政策支持感知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H1：出海品类（3C/服饰/新消费）、平台选择显著影响政策支持感知（待验证）；H2：不同人群（年龄/收入/城市等级）在上述关系中存在调节作用（待验证）。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✅2026年跨境电商利好（跨关区退货4月推开、退货周期缩短近半）；✅"新三样"出口增长43.6%（热搜/海关数据）；🔶跨境电商进出口规模（商务部数据需核验）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跨境电商产业园/卖家社群渠道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✅2026年跨境电商利好（跨关区退货4月推开、退货周期缩短近半）；✅"新三样"出口增长43.6%（热搜/海关数据）；🔶跨境电商进出口规模（商务部数据需核验）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