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462. “仅退款新政，商家冷暖”——电商“仅退款”机制对商家与消费者影响研究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研究对象：直播购物踩过雷（货不对板/虚假宣传）的消费者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核心问题/变量：踩雷经历类型、维权方式（平台介入/12315/诉讼）、维权成本、处理结果满意度、平台改进评价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H1：踩雷经历类型、维权方式（平台介入/12315/诉讼）显著影响平台改进评价（待验证）；H2：不同人群（年龄/收入/城市等级）在上述关系中存在调节作用（待验证）。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✅直播电商2025年破6万亿元（第九轮证据）；✅《直播电商监督管理办法》（2026年施行、私域直播纳入监管平台）；🔶直播投诉热点（中消协报告需下载）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直播购物社群+投诉平台数据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✅直播电商2025年破6万亿元（第九轮证据）；✅《直播电商监督管理办法》（2026年施行、私域直播纳入监管平台）；🔶直播投诉热点（中消协报告需下载）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