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501. “刮刮乐，年轻人的快乐税”——青年即开型彩票（刮刮乐）购彩行为与自我控制研究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研究对象：18—40 岁购买过即开型彩票（刮刮乐）年轻人及未购彩观望者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核心问题/变量：购彩动机（娱乐/解压/暴富幻想）、单次与月度支出、自我控制（止损意识）、社交媒体开奖分享、对“彩票=智商税”争议认知、监管态度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H1：购彩动机（娱乐/解压/暴富幻想）、单次与月度支出显著影响监管态度（待验证）；H2：不同人群（年龄/收入/城市等级）在上述关系中存在调节作用（待验证）。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✅全国彩票销售数据（财政部、体彩/福彩官方）；✅即开型彩票销量增长报道（新华社/央视）；🔶购彩人群画像报告（须下载核验）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彩票门店渠道+小红书/抖音社群问卷；与408（理财）区分：聚焦即开型彩票消费心理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✅全国彩票销售数据（财政部、体彩/福彩官方）；✅即开型彩票销量增长报道（新华社/央视）；🔶购彩人群画像报告（须下载核验）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