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508. “剩菜盲盒，反浪费新消费”——临期食品盲盒的消费行为与食品安全信任研究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研究对象：购买过剩菜/临期食品盲盒（惜食魔法袋类）的青年消费者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核心问题/变量：购买动机（省钱/环保/惊喜感）、不确定性接受度、食品安全顾虑、复购意愿、平台与商家参与门槛、反食物浪费价值感知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H1：购买动机（省钱/环保/惊喜感）、不确定性接受度显著影响反食物浪费价值感知（待验证）；H2：不同人群（年龄/收入/城市等级）在上述关系中存在调节作用（待验证）。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🔶剩菜盲盒模式走红与争议报道（央媒、自媒体，须下载核验）；✅反食品浪费法（全国人大）与市场监管公告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平台社群问卷+商家访谈；区别于021（预制菜）与硬折扣（068）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🔶剩菜盲盒模式走红与争议报道（央媒、自媒体，须下载核验）；✅反食品浪费法（全国人大）与市场监管公告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