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561. “无印风生活，极简新消费”——极简生活方式的消费动机与家居消费行为研究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研究对象：推崇极简/无印风格生活方式的年轻人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核心问题/变量：极简生活动机（断舍离/环保/省钱）、简约家居与服饰消费、收纳整理消费、极简博主影响、与消费主义张力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H1：极简生活动机（断舍离/环保/省钱）、简约家居与服饰消费显著影响与消费主义张力（待验证）；H2：不同人群（年龄/收入/城市等级）在上述关系中存在调节作用（待验证）。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🔶极简生活方式消费报道（媒体须下载核验）；✅绿色生活方式政策（发改委）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生活方式社群问卷+整理师访谈；区别于363（二手交易）聚焦极简理念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🔶极简生活方式消费报道（媒体须下载核验）；✅绿色生活方式政策（发改委）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