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567. “无痕生活，零包装购物”——无包装购物的消费动机与参与障碍研究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研究对象：光顾无包装商店/自带容器购物的环保消费者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核心问题/变量：零包装购物动机（减塑/环保）、自带容器习惯、无包装店商品结构与价格、参与障碍（便利性）、可持续坚持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零包装购物动机（减塑/环保）、自带容器习惯（可持续坚持）之间存在可检验的关系，且受群体差异（年龄/收入/地区/身份）调节（待验证）；H2：零包装购物动机（减塑/环保）、自带容器习惯是影响可持续坚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🔶无包装商店案例（环保媒体须下载核验）；✅塑料污染治理政策（发改委、生态环境部）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无包装商店渠道问卷+店主访谈；区别于365（减塑行为）聚焦零售形态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🔶无包装商店案例（环保媒体须下载核验）；✅塑料污染治理政策（发改委、生态环境部）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