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569. “二手奢侈品，理性入圈”——二手奢侈品的购买动机与验真信任研究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研究对象：购买二手奢侈品（包/表/首饰）的消费者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核心问题/变量：二手奢品购买动机（性价比/环保/收藏）、验真信任与平台选择、转卖习惯、价格保值认知、与专柜对比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H1：二手奢品购买动机（性价比/环保/收藏）、验真信任与平台选择显著影响与专柜对比（待验证）；H2：不同人群（年龄/收入/城市等级）在上述关系中存在调节作用（待验证）。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🔶二手奢侈品市场规模（行业报告须下载核验）；✅奢侈品鉴定与消费保护规范（消协）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二手奢品平台社群问卷+鉴定师访谈；区别于070（二手机）聚焦奢品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🔶二手奢侈品市场规模（行业报告须下载核验）；✅奢侈品鉴定与消费保护规范（消协）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