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615. “买手店淘货，小众审美”——买手店消费意愿与选品溢价接受度调查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研究对象：在买手店/设计集合店购物的青年消费者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核心问题/变量：买手店光顾动机（小众/独特/潮流）、选品溢价接受、与品牌店/电商对比、主理人IP影响、复购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H1：买手店光顾动机（小众/独特/潮流）、选品溢价接受显著影响复购（待验证）；H2：不同人群（年龄/收入/城市等级）在上述关系中存在调节作用（待验证）。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🔶买手店业态报道（时尚媒体须下载核验）；✅零售创新政策（商务部）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买手店实地问卷+主理人访谈；获奖黑名单核对：近三年无买手店获奖题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🔶买手店业态报道（时尚媒体须下载核验）；✅零售创新政策（商务部）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