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637. “奥特莱斯捡漏，折扣经济”——奥特莱斯购物动机与折扣消费行为调查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研究对象：常逛奥莱/品牌折扣店的城市消费者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核心问题/变量：奥莱购物动机（折扣/正品）、品牌认知（过季款）、单次消费金额、与电商大促对比、会员与返券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H1：奥莱购物动机（折扣/正品）、品牌认知（过季款）显著影响会员与返券（待验证）；H2：不同人群（年龄/收入/城市等级）在上述关系中存在调节作用（待验证）。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🔶奥莱市场数据（零售行业报告须下载核验）；✅扩大内需促销费政策（国务院）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奥莱实地问卷+商户访谈；获奖黑名单核对：近三年无奥莱消费获奖题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🔶奥莱市场数据（零售行业报告须下载核验）；✅扩大内需促销费政策（国务院）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