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655. “无印良品不等于无印良品”——名创优品等‘十元店’升级消费研究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研究对象：在名创优品/杂物社等平价生活零售店购物的消费者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核心问题/变量：平价生活店消费动机（小确幸/联名）、IP联名产品抢购、客单价与复购、与电商对比、国潮设计评价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H1：平价生活店消费动机（小确幸/联名）、IP联名产品抢购显著影响国潮设计评价（待验证）；H2：不同人群（年龄/收入/城市等级）在上述关系中存在调节作用（待验证）。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🔶名创优品类财报与门店数据（行业报告须下载核验）；✅零售业态创新政策（商务部）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门店实地问卷+品牌访谈；获奖黑名单核对：近三年无十元店升级获奖题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🔶名创优品类财报与门店数据（行业报告须下载核验）；✅零售业态创新政策（商务部）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