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673. “百货大楼改造，老商场焕新”——传统百货改造为体验式商场消费研究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选题规范化（呆塔大师兄（微信：a237658765））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确定行业：07_零售商业与消费新形态（选择理由：贴合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研究对象：逛改造后老百货/老商场的消费者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核心问题/变量：改造后重逛动机（怀旧/新业态）、业态变化（餐饮/策展/潮牌）、与购物中心对比、老字号情怀、消费意愿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H1：改造后重逛动机（怀旧/新业态）、业态变化（餐饮/策展/潮牌）显著影响消费意愿（待验证）；H2：不同人群（年龄/收入/城市等级）在上述关系中存在调节作用（待验证）。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🔶百货改造案例报道（商业媒体须下载核验）；✅城市商业更新政策（商务部）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改造商场实地问卷+运营方访谈；获奖黑名单核对：近三年无老百货改造获奖题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🔶百货改造案例报道（商业媒体须下载核验）；✅城市商业更新政策（商务部）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