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736. “供销社回归，老店新开”——供销社网点消费意愿与服务质量评价研究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研究对象：光顾改造后供销社/为农服务中心的村民与市民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核心问题/变量：供销社回归认知（怀旧/实惠）、经营内容（农资/日用品/快递）、价格与质量、服务三农功能、年轻客群吸引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供销社回归认知（怀旧/实惠）、经营内容（农资/日用品/快递）（年轻客群吸引）之间存在可检验的关系，且受群体差异（年龄/收入/地区/身份）调节（待验证）；H2：供销社回归认知（怀旧/实惠）、经营内容（农资/日用品/快递）是影响年轻客群吸引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🔶供销社改革报道（央媒须下载核验）；✅供销合作社改革政策（国务院）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供销社网点实地问卷+负责人访谈；获奖黑名单核对：近三年无供销社获奖题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🔶供销社改革报道（央媒须下载核验）；✅供销合作社改革政策（国务院）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