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775. “无人茶空间，自助茶馆”——无人茶空间使用需求与付费接受度研究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研究对象：使用无人茶空间/共享茶室的消费者（商务/社交/独处）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核心问题/变量：无人茶空间使用场景、计时收费接受、私密性体验、与传统茶馆对比、设备自助便利、复购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H1：无人茶空间使用场景、计时收费接受显著影响复购（待验证）；H2：不同人群（年龄/收入/城市等级）在上述关系中存在调节作用（待验证）。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🔶共享茶室业态报道（媒体须下载核验）；✅新业态监管包容政策（国务院）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共享茶室渠道问卷+运营方访谈；获奖黑名单核对：近三年无无人茶空间获奖题（区别于566无人零售）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🔶共享茶室业态报道（媒体须下载核验）；✅新业态监管包容政策（国务院）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