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792. “老字号焕新，国潮再出发”——老字号品牌焕新认知与再购意愿研究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研究对象：因焕新动作（联名/新包装/直播）重新关注老字号的消费者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核心问题/变量：老字号焕新认知（跨界/数字化）、重新购买动机（情怀/颜值）、新品试水、与新兴品牌对比、品牌年轻化评价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H1：老字号焕新认知（跨界/数字化）、重新购买动机（情怀/颜值）显著影响品牌年轻化评价（待验证）；H2：不同人群（年龄/收入/城市等级）在上述关系中存在调节作用（待验证）。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🔶老字号创新案例报道（央媒须下载核验）；✅老字号促进政策（商务部）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老字号门店/直播渠道问卷；获奖黑名单核对：近三年无老字号焕新获奖题（区别于396-398清理老字号）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🔶老字号创新案例报道（央媒须下载核验）；✅老字号促进政策（商务部）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