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814. “社区缝补店，小修小补回归”——社区居民小修小补服务需求与使用意愿研究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研究对象：使用社区小修小补服务的居民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核心问题/变量：修补服务类型（改衣/修鞋/开锁）、使用频次、价格与手艺信任、关键小事（民生清单）政策感知、年轻人回流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修补服务类型（改衣/修鞋/开锁）、使用频次（年轻人回流）之间存在可检验的关系，且受群体差异（年龄/收入/地区/身份）调节（待验证）；H2：修补服务类型（改衣/修鞋/开锁）、使用频次是影响年轻人回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🔶小修小补回归政策（商务部便民生活圈）；🔶社区修补服务报道（须下载核验）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社区修补摊实地问卷+从业者访谈；获奖黑名单核对：近三年无社区修补获奖题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🔶小修小补回归政策（商务部便民生活圈）；🔶社区修补服务报道（须下载核验）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