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840. “旧书店淘书，纸质阅读复兴”——读者旧书淘购需求与平台渠道偏好调查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研究对象：逛旧书店/线上二手书（孔夫子/多抓鱼）的读者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核心问题/变量：淘书动机（低价/绝版/纸质情怀）、旧书店探店、线上二手书平台（循环）、回收卖书、纸质阅读复兴感知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H1：淘书动机（低价/绝版/纸质情怀）、旧书店探店显著影响纸质阅读复兴感知（待验证）；H2：不同人群（年龄/收入/城市等级）在上述关系中存在调节作用（待验证）。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🔶旧书业复兴报道（媒体须下载核验）；✅全民阅读促进政策（中宣部）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旧书店实地问卷+店主访谈；获奖黑名单核对：近三年无旧书店获奖题（区别于143城市漫步书店）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🔶旧书业复兴报道（媒体须下载核验）；✅全民阅读促进政策（中宣部）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