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884. “国货美妆出海，口红外交”——国货美妆出海购买意愿与海外定价接受度研究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研究对象：购买中国美妆品牌（海外）的消费者、出口企业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核心问题/变量：国货美妆出海目的地（东南亚/欧美）、海外定价（国内1.5-2倍）、本地审美适配、海外渠道（TikTok Shop）、品牌力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H1：国货美妆出海目的地（东南亚/欧美）、海外定价（国内1.5-2倍）显著影响品牌力（待验证）；H2：不同人群（年龄/收入/城市等级）在上述关系中存在调节作用（待验证）。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🔶国货美妆出海数据（行业报告须下载核验）；✅国货消费与出海政策（商务部）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出海品牌访谈+海外消费者问卷；获奖黑名单核对：近三年无美妆出海获奖题（区别于679茶饮出海）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🔶国货美妆出海数据（行业报告须下载核验）；✅国货消费与出海政策（商务部）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