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092. “拼单拼玩，组团消费”——青年拼单、组团消费（拼购、拼课、拼玩）行为研究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研究对象：使用过搭子社交（饭搭子/旅游搭子/游戏搭子/学习搭子）的 18—35 岁青年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核心问题/变量：搭子类型、参与频率、消费支出、社交孤独感、情感满足、持续使用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H1：搭子类型、参与频率显著影响持续使用（待验证）；H2：不同人群（年龄/收入/城市等级）在上述关系中存在调节作用（待验证）。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🔶"搭子社交"为近两年社交平台高频现象（小红书/微博"搭子"笔记量级大，需引用平台官方数据或学术文献）；✅青年单身化与社交需求背景（民政部数据，🔶最新口径待核验）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搭子App（伴趣/组局类）/校园社群渠道；可配合小红书"搭子"话题内容分析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🔶"搭子社交"为近两年社交平台高频现象（小红书/微博"搭子"笔记量级大，需引用平台官方数据或学术文献）；✅青年单身化与社交需求背景（民政部数据，🔶最新口径待核验）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