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955. “无人值守彩票店，自助刮刮乐”——年轻人自助购彩使用体验与理性购彩认知调查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研究对象：购买彩票（刮刮乐/自助终端）的年轻人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核心问题/变量：彩票消费动机（娱乐/暴富心理）、自助终端（无人店）体验、人均购彩金额、未成年购彩拦截、理性购彩认知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H1：彩票消费动机（娱乐/暴富心理）、自助终端（无人店）体验显著影响理性购彩认知（待验证）；H2：不同人群（年龄/收入/城市等级）在上述关系中存在调节作用（待验证）。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🔶彩票管理条例与渠道规范（财政部、民政部/体育总局）；🔶彩票销量数据（须下载核验）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自助终端网点问卷+体彩中心访谈；获奖黑名单核对：近三年无彩票自助销售获奖题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🔶彩票管理条例与渠道规范（财政部、民政部/体育总局）；🔶彩票销量数据（须下载核验）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