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096. “后备箱市集，烟火新潮”——青年市集消费体验与再参与意愿研究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研究对象：参与过或逛过青年市集/后备箱集市的摊主与消费者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核心问题/变量：参与动机（副业/社交/体验）、收入情况、摊位费用接受、消费体验、再参与意愿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H1：参与动机（副业/社交/体验）、收入情况显著影响再参与意愿（待验证）；H2：不同人群（年龄/收入/城市等级）在上述关系中存在调节作用（待验证）。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🔶青年市集/后备箱集市为城市夜经济新形态（多地媒体报道，需引用具体城市案例）；✅商务部培育夜间消费集聚区（政策背景）；✅2026上半年乡村消费品零售额33216亿元（消费扩容背景）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当地市集现场调研（摊主访谈+消费者问卷）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🔶青年市集/后备箱集市为城市夜经济新形态（多地媒体报道，需引用具体城市案例）；✅商务部培育夜间消费集聚区（政策背景）；✅2026上半年乡村消费品零售额33216亿元（消费扩容背景）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