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975. “外贸尾单店，捡漏外贸货”——外贸尾单（原单、剪标）消费动机与复购意愿调查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研究对象：购买外贸尾单/原单服饰的消费者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核心问题/变量：尾单购买动机（大牌平替/性价比）、真伪与瑕疵（剪标）、渠道（直播/实体/微商）、消费体验（尺码/退换）、复购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H1：尾单购买动机（大牌平替/性价比）、真伪与瑕疵（剪标）显著影响复购（待验证）；H2：不同人群（年龄/收入/城市等级）在上述关系中存在调节作用（待验证）。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🔶商品标识与商标侵权边界（市场监管总局）；🔶外贸尾单市场报道（须下载核验）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尾单店问卷+直播渠道访谈；获奖黑名单核对：近三年无外贸尾单获奖题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🔶商品标识与商标侵权边界（市场监管总局）；🔶外贸尾单市场报道（须下载核验）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