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1018. “屋顶经济，天台露营”——城市屋顶商业空间消费需求与价格溢价接受度调查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研究对象：光顾屋顶商业空间（屋顶咖啡、天台露营、屋顶酒吧）的消费者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核心问题/变量：屋顶空间消费动机（氛围/夜景/出片）、价格溢价接受、改造内容（露营布景/观景）、城市天台复购、物业配合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H1：屋顶空间消费动机（氛围/夜景/出片）、价格溢价接受显著影响物业配合（待验证）；H2：不同人群（年龄/收入/城市等级）在上述关系中存在调节作用（待验证）。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🔶城市更新与低效空间盘活政策（住建部）；🔶屋顶经济案例报道（须下载核验）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屋顶业态实地问卷+运营方访谈；获奖黑名单核对：近三年无屋顶经济获奖题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🔶城市更新与低效空间盘活政策（住建部）；🔶屋顶经济案例报道（须下载核验）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