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1188. “租房新规，押金直达监管”——住房租赁押金监管（新规）租客体验研究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研究对象：适用押金监管新规（押一付一/资金存管）的租客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核心问题/变量：押金监管知晓（第三方存管）、退押速度（新规后）、租金贷整治、押金纠纷率、租客权益感知、中介执行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押金监管知晓（第三方存管）、退押速度（新规后）（中介执行）之间存在可检验的关系，且受群体差异（年龄/收入/地区/身份）调节（待验证）；H2：押金监管知晓（第三方存管）、退押速度（新规后）是影响中介执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🔶住房租赁押金与租金监管新规（住建部、地方条例）；🔶租赁纠纷数据（消协须下载核验）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租客问卷+住建部门访谈；获奖黑名单核对：近三年无押金监管获奖题（区别于610押金泛题、933租金贷，聚焦新规落地体验）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🔶住房租赁押金与租金监管新规（住建部、地方条例）；🔶租赁纠纷数据（消协须下载核验）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