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1190. “老楼装电梯后，爬楼权之争”——既有住宅加装电梯意愿及费用分摊影响因素调查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研究对象：参与既有住宅加装电梯协商（成功/卡壳）的业主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核心问题/变量：加梯决策（三分之二表决）、高低层利益（采光/补偿）、反对意见处理、费用分摊（楼层系数）、政府补贴、一票否决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加梯决策（三分之二表决）、高低层利益（采光/补偿）（一票否决）之间存在可检验的关系，且受群体差异（年龄/收入/地区/身份）调节（待验证）；H2：加梯决策（三分之二表决）、高低层利益（采光/补偿）是影响一票否决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🔶加装电梯政策与表决机制（住建部、地方条例）；🔶加梯协商案例（须下载核验）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小区业主问卷+街道访谈；获奖黑名单核对：近三年无加梯协商获奖题（区别于913/953/1090加梯工程与运维，聚焦决策协商机制）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🔶加装电梯政策与表决机制（住建部、地方条例）；🔶加梯协商案例（须下载核验）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