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1226. “超大特大城市更新，地下管网革命”——老城区居民管网改造需求与配合意愿研究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研究对象：经历老城区地下管网改造（燃气/污水/水电）的居民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核心问题/变量：管网老化问题（漏水/燃气安全）、改造施工影响（道路开挖/停水）、改造进度与质量、居民生活干扰、满意度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管网老化问题（漏水/燃气安全）、改造施工影响（道路开挖/停水）（满意度）之间存在可检验的关系，且受群体差异（年龄/收入/地区/身份）调节（待验证）；H2：管网老化问题（漏水/燃气安全）、改造施工影响（道路开挖/停水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🔶城市地下管网更新改造政策（住建部、发改委）；🔶管网改造数据（须下载核验）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改造片区问卷+住建部门访谈；获奖黑名单核对：近三年无地下管网改造获奖题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🔶城市地下管网更新改造政策（住建部、发改委）；🔶管网改造数据（须下载核验）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