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1228. “老小区装电梯新规，就得这么办”——业主加装电梯意愿与新规支持度研究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研究对象：适用加梯新规（三分之二同意即可加装）的业主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核心问题/变量：加梯新规（表决门槛调整）、强制加装争议（低层反对）、补偿机制（要价）、政府代建、新规后开工率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H1：加梯新规（表决门槛调整）、强制加装争议（低层反对）显著影响新规后开工率（待验证）；H2：不同人群（年龄/收入/城市等级）在上述关系中存在调节作用（待验证）。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🔶加装电梯新政（地方条例、住建部）；🔶新规加梯数据（须下载核验）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小区业主问卷+街道访谈；获奖黑名单核对：近三年无加梯新规表决获奖题（区别于1190协商泛题，聚焦新规门槛变化）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🔶加装电梯新政（地方条例、住建部）；🔶新规加梯数据（须下载核验）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