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1229. “城中村改造，村民变房东”——城中村改造村民安置满意度与出租经营意愿调查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建议地区：城中村（可按省/市细化抽样框）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研究对象：经历城中村改造（房票安置/回迁）的村民与租客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核心问题/变量：城中村改造补偿（房票vs现金）、回迁房品质、村民租金收入变化、租客搬家潮、改造后商业、安置满意度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H1：城中村改造补偿（房票vs现金）、回迁房品质显著影响安置满意度（待验证）；H2：不同人群（年龄/收入/城市等级）在上述关系中存在调节作用（待验证）。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🔶城中村改造政策（国务院、住建部）；🔶房票安置数据（须下载核验）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改造片区问卷+住建部门访谈；获奖黑名单核对：近三年无城中村改造补偿获奖题（区别于967城中村改造泛题，聚焦安置补偿消费）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🔶城中村改造政策（国务院、住建部）；🔶房票安置数据（须下载核验）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