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1230. “全屋智能家装，装修新物种”——全屋智能家装消费预算与品牌生态选择偏好调查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研究对象：装修时做全屋智能（智能照明/安防/语音）的家庭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核心问题/变量：全屋智能装修预算（1-5万）、方案选择（品牌整包vs自配）、生态联动（米家/华为）、安装调试体验、售后维护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H1：全屋智能装修预算（1-5万）、方案选择（品牌整包vs自配）显著影响售后维护（待验证）；H2：不同人群（年龄/收入/城市等级）在上述关系中存在调节作用（待验证）。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🔶智能家居与绿色智能建筑政策（住建部）；🔶全屋智能家装数据（须下载核验）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家装公司渠道+业主问卷；获奖黑名单核对：近三年无全屋智能装修获奖题（区别于741全屋智能泛题，聚焦装修集成化）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🔶智能家居与绿色智能建筑政策（住建部）；🔶全屋智能家装数据（须下载核验）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