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1332. “老公房改造，老宅新生活”——老公房综合改造需求偏好与居民满意度调查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确定行业：08_居住与城市更新（选择理由：贴合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研究对象：经历老公房综合改造（厨卫/外立面/管线）的居民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核心问题/变量：老公房改造内容（厨卫成套/保温）、改造费用分担、施工期间居住（搬离/暂住）、改造后房价与生活、居民满意度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老公房改造内容（厨卫成套/保温）、改造费用分担（居民满意度）之间存在可检验的关系，且受群体差异（年龄/收入/地区/身份）调节（待验证）；H2：老公房改造内容（厨卫成套/保温）、改造费用分担是影响居民满意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🔶城镇老旧小区改造政策（住建部）；🔶改造项目数据（须下载核验）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改造小区问卷+住建部门访谈；获奖黑名单核对：近三年无老房综合改造获奖题（区别于335/1090加梯等单项，聚焦综合改造）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🔶城镇老旧小区改造政策（住建部）；🔶改造项目数据（须下载核验）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