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1335. “物业透明化，公共收益晒账单”——物业公共收益公示认知与业主信任调查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研究对象：关注物业公共收益（电梯广告/停车费）公示的业主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核心问题/变量：公共收益去向（广告/场地租金）、收益公示制度（季度公示）、业主监督（业委会）、收益分配（补充维修资金）、物业信任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公共收益去向（广告/场地租金）、收益公示制度（季度公示）（物业信任）之间存在可检验的关系，且受群体差异（年龄/收入/地区/身份）调节（待验证）；H2：公共收益去向（广告/场地租金）、收益公示制度（季度公示）是影响物业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🔶物业管理条例与公共收益规定（住建部、地方条例）；🔶公共收益案例（须下载核验）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业主问卷+物协/街道访谈；获奖黑名单核对：近三年无公共收益公示获奖题（区别于713物业费）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🔶物业管理条例与公共收益规定（住建部、地方条例）；🔶公共收益案例（须下载核验）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