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1337. “学区房退烧，均衡教育来了”——学区房降温背景下家长择校偏好与教育公平感知调查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研究对象：考虑学区房的家长（多校划片/教师轮岗后）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核心问题/变量：学区房降温（多校划片）、教师轮岗（均衡）、家长择校策略（就近入学）、学区溢价变化、教育公平感知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学区房降温（多校划片）、教师轮岗（均衡）（教育公平感知）之间存在可检验的关系，且受群体差异（年龄/收入/地区/身份）调节（待验证）；H2：学区房降温（多校划片）、教师轮岗（均衡）是影响教育公平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🔶义务教育招生与均衡政策（教育部）；🔶学区房市场数据（中介报告须下载核验）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家长问卷+中介/教育部门访谈；获奖黑名单核对：近三年无学区房降温获奖题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🔶义务教育招生与均衡政策（教育部）；🔶学区房市场数据（中介报告须下载核验）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