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1339. “旧改还是拆迁，留改拆之辨”——城市更新留改拆安置意愿与居民参与意愿调查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研究对象：处于城市更新（留改拆）片区的居民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核心问题/变量：留改拆选择（保留/改造/拆除）、居民安置意愿（就地安置/房票）、商业开发与居民利益、参与决策、更新后生活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留改拆选择（保留/改造/拆除）、居民安置意愿（就地安置/房票）（更新后生活）之间存在可检验的关系，且受群体差异（年龄/收入/地区/身份）调节（待验证）；H2：留改拆选择（保留/改造/拆除）、居民安置意愿（就地安置/房票）是影响更新后生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🔶城市更新与留改拆政策（住建部）；🔶城市更新案例数据（须下载核验）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更新片区问卷+规划部门访谈；获奖黑名单核对：近三年无留改拆意愿获奖题（区别于967/1049/1229更新泛题，聚焦居民意愿权衡）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🔶城市更新与留改拆政策（住建部）；🔶城市更新案例数据（须下载核验）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