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177. “独居安全，智能看家”——独居青年“一人食”消费行为与需求缺口调查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研究对象：有"一人食"消费习惯的独居青年/职场人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核心问题/变量：独食场景、餐厅选择偏好（吧台/小份）、心理体验（孤独vs享受）、消费支出、需求缺口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H1：独食场景、餐厅选择偏好（吧台/小份）显著影响需求缺口（待验证）；H2：不同人群（年龄/收入/城市等级）在上述关系中存在调节作用（待验证）。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✅33%消费者会为"一人食"专门消费、21%过去一年增加支出（新潮传媒）；✅新华财经"i人经济"报道；✅一人食餐饮品牌兴起（媒体）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一人食餐厅/外卖平台渠道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✅33%消费者会为"一人食"专门消费、21%过去一年增加支出（新潮传媒）；✅新华财经"i人经济"报道；✅一人食餐饮品牌兴起（媒体）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