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313. “AI 厨房，一键烹饪”——智能厨房（AI烹饪、智能烤箱、炒菜机）消费意愿研究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研究对象：有烹饪需求（家庭主厨/上班族）的消费者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核心问题/变量：烹饪痛点（时间/口味）、智能厨电认知、价格接受、菜谱AI功能期待、使用习惯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H1：烹饪痛点（时间/口味）、智能厨电认知显著影响使用习惯（待验证）；H2：不同人群（年龄/收入/城市等级）在上述关系中存在调节作用（待验证）。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🔶智能厨电市场（奥维云网数据需核验）；✅智能家居全屋联动背景；✅单身/小家庭烹饪多样化（一人食33%证据）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家电卖场/美食社群渠道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🔶智能厨电市场（奥维云网数据需核验）；✅智能家居全屋联动背景；✅单身/小家庭烹饪多样化（一人食33%证据）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